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5A2E" w14:textId="1CCD8807" w:rsidR="00FA02D7" w:rsidRPr="007761B3" w:rsidRDefault="00FA02D7" w:rsidP="007761B3">
      <w:pPr>
        <w:spacing w:after="0" w:line="240" w:lineRule="auto"/>
        <w:jc w:val="center"/>
        <w:rPr>
          <w:b/>
          <w:bCs/>
          <w:u w:val="single"/>
        </w:rPr>
      </w:pPr>
      <w:r w:rsidRPr="007761B3">
        <w:rPr>
          <w:b/>
          <w:bCs/>
          <w:u w:val="single"/>
        </w:rPr>
        <w:t>Análise do Mercado de Apostas Online no Brasil</w:t>
      </w:r>
    </w:p>
    <w:p w14:paraId="19D12241" w14:textId="77777777" w:rsidR="007761B3" w:rsidRDefault="007761B3" w:rsidP="007761B3">
      <w:pPr>
        <w:spacing w:after="0" w:line="240" w:lineRule="auto"/>
        <w:jc w:val="center"/>
        <w:rPr>
          <w:b/>
          <w:bCs/>
        </w:rPr>
      </w:pPr>
    </w:p>
    <w:p w14:paraId="257B760F" w14:textId="3CAED293" w:rsidR="007761B3" w:rsidRPr="007761B3" w:rsidRDefault="007761B3" w:rsidP="007761B3">
      <w:pPr>
        <w:spacing w:after="0" w:line="240" w:lineRule="auto"/>
        <w:jc w:val="center"/>
        <w:rPr>
          <w:sz w:val="20"/>
          <w:szCs w:val="20"/>
        </w:rPr>
      </w:pPr>
      <w:r w:rsidRPr="007761B3">
        <w:t>Agosto de 2024</w:t>
      </w:r>
    </w:p>
    <w:p w14:paraId="4BD2BF4F" w14:textId="77777777" w:rsidR="007761B3" w:rsidRPr="002F75B8" w:rsidRDefault="007761B3" w:rsidP="007761B3">
      <w:pPr>
        <w:spacing w:after="0" w:line="240" w:lineRule="auto"/>
        <w:jc w:val="center"/>
        <w:rPr>
          <w:sz w:val="20"/>
          <w:szCs w:val="20"/>
        </w:rPr>
      </w:pPr>
    </w:p>
    <w:p w14:paraId="056200B5" w14:textId="77777777" w:rsidR="007761B3" w:rsidRDefault="007761B3" w:rsidP="007761B3">
      <w:pPr>
        <w:spacing w:after="0" w:line="240" w:lineRule="auto"/>
        <w:jc w:val="both"/>
      </w:pPr>
    </w:p>
    <w:p w14:paraId="7206F4DA" w14:textId="0A3FE843" w:rsidR="00E2178C" w:rsidRDefault="00E2178C" w:rsidP="007761B3">
      <w:pPr>
        <w:spacing w:after="0" w:line="240" w:lineRule="auto"/>
        <w:jc w:val="both"/>
      </w:pPr>
      <w:r>
        <w:rPr>
          <w:b/>
          <w:bCs/>
        </w:rPr>
        <w:t>Introdução</w:t>
      </w:r>
    </w:p>
    <w:p w14:paraId="6AEDDFB7" w14:textId="53990304" w:rsidR="00CF4245" w:rsidRDefault="00CF4245" w:rsidP="00CF4245">
      <w:pPr>
        <w:spacing w:after="0" w:line="240" w:lineRule="auto"/>
        <w:ind w:firstLine="708"/>
        <w:jc w:val="both"/>
      </w:pPr>
      <w:r w:rsidRPr="00CF4245">
        <w:t xml:space="preserve">O objetivo </w:t>
      </w:r>
      <w:r w:rsidR="001C3378">
        <w:t>desta nota</w:t>
      </w:r>
      <w:r w:rsidRPr="00CF4245">
        <w:t xml:space="preserve"> é mensurar o tamanho do mercado de jogos de azar e apostas online no Brasil. A análise apresenta desafios, já que muitas dessas empresas operam sob nomes que não correspondem aos divulgados na mídia, e várias delas não estão corretamente classificadas no setor econômico apropriado (CNAE 9200-3/99, relacionado à exploração de jogos de azar e apostas). Isso exige uma identificação criteriosa. Além disso, muitas dessas empresas não atuam exclusivamente no setor de apostas, podendo ser substituídas ao longo do tempo, o que torna a análise ainda mais complexa.</w:t>
      </w:r>
    </w:p>
    <w:p w14:paraId="69406547" w14:textId="42856B31" w:rsidR="00B31991" w:rsidRPr="00CF4245" w:rsidRDefault="00B31991" w:rsidP="00CF4245">
      <w:pPr>
        <w:spacing w:after="0" w:line="240" w:lineRule="auto"/>
        <w:ind w:firstLine="708"/>
        <w:jc w:val="both"/>
      </w:pPr>
      <w:r>
        <w:t>Ressalta-se que os resultados são estimativas, sujeitas aos riscos dos pressupostos adotados, e são resultados ainda preliminares, dado que o aprofundamento da análise ainda está em desenvolvimento.</w:t>
      </w:r>
    </w:p>
    <w:p w14:paraId="503CA3AC" w14:textId="77777777" w:rsidR="007761B3" w:rsidRDefault="007761B3" w:rsidP="007761B3">
      <w:pPr>
        <w:spacing w:after="0" w:line="240" w:lineRule="auto"/>
        <w:jc w:val="both"/>
        <w:rPr>
          <w:b/>
          <w:bCs/>
        </w:rPr>
      </w:pPr>
    </w:p>
    <w:p w14:paraId="75C18CCD" w14:textId="10613743" w:rsidR="00FA02D7" w:rsidRPr="00FA02D7" w:rsidRDefault="00FA02D7" w:rsidP="007761B3">
      <w:pPr>
        <w:spacing w:after="0" w:line="240" w:lineRule="auto"/>
        <w:jc w:val="both"/>
      </w:pPr>
      <w:r w:rsidRPr="00FA02D7">
        <w:rPr>
          <w:b/>
          <w:bCs/>
        </w:rPr>
        <w:t>Comparativo entre Apostas Online e Loterias (</w:t>
      </w:r>
      <w:r w:rsidR="0073212C">
        <w:rPr>
          <w:b/>
          <w:bCs/>
        </w:rPr>
        <w:t>a</w:t>
      </w:r>
      <w:r w:rsidRPr="00FA02D7">
        <w:rPr>
          <w:b/>
          <w:bCs/>
        </w:rPr>
        <w:t>gosto de 2024)</w:t>
      </w:r>
    </w:p>
    <w:p w14:paraId="1D4386E4" w14:textId="4F1530DE" w:rsidR="00FA02D7" w:rsidRDefault="00FA02D7" w:rsidP="00DD6217">
      <w:pPr>
        <w:spacing w:after="0" w:line="240" w:lineRule="auto"/>
        <w:ind w:firstLine="708"/>
        <w:jc w:val="both"/>
      </w:pPr>
      <w:r w:rsidRPr="00FA02D7">
        <w:t xml:space="preserve">A tabela </w:t>
      </w:r>
      <w:r w:rsidR="001C3378">
        <w:t>a seguir</w:t>
      </w:r>
      <w:r w:rsidRPr="00FA02D7">
        <w:t xml:space="preserve"> apresenta um comparativo entre os valores mensais das apostas online e das loterias em agosto de 2024.</w:t>
      </w:r>
    </w:p>
    <w:p w14:paraId="2CEACB8E" w14:textId="77777777" w:rsidR="00C55DEB" w:rsidRPr="00FA02D7" w:rsidRDefault="00C55DEB" w:rsidP="00DD6217">
      <w:pPr>
        <w:spacing w:after="0" w:line="240" w:lineRule="auto"/>
        <w:ind w:firstLine="708"/>
        <w:jc w:val="both"/>
      </w:pPr>
    </w:p>
    <w:tbl>
      <w:tblPr>
        <w:tblW w:w="8239" w:type="dxa"/>
        <w:tblInd w:w="99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9"/>
        <w:gridCol w:w="1420"/>
        <w:gridCol w:w="1840"/>
        <w:gridCol w:w="1860"/>
      </w:tblGrid>
      <w:tr w:rsidR="001C3378" w:rsidRPr="001C3378" w14:paraId="721C48CF" w14:textId="77777777" w:rsidTr="006A717F">
        <w:trPr>
          <w:trHeight w:val="648"/>
        </w:trPr>
        <w:tc>
          <w:tcPr>
            <w:tcW w:w="3119" w:type="dxa"/>
            <w:tcBorders>
              <w:top w:val="nil"/>
              <w:left w:val="nil"/>
              <w:bottom w:val="single" w:sz="18" w:space="0" w:color="1F4E79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0C7C7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18" w:space="0" w:color="1F4E79"/>
              <w:right w:val="dotted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5CE7C6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Loterias</w:t>
            </w:r>
          </w:p>
        </w:tc>
        <w:tc>
          <w:tcPr>
            <w:tcW w:w="1840" w:type="dxa"/>
            <w:tcBorders>
              <w:top w:val="nil"/>
              <w:left w:val="dotted" w:sz="8" w:space="0" w:color="000000"/>
              <w:bottom w:val="single" w:sz="18" w:space="0" w:color="1F4E79"/>
              <w:right w:val="dotted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45F89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Jogos de azar e apostas</w:t>
            </w:r>
          </w:p>
          <w:p w14:paraId="0741E4FD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(</w:t>
            </w:r>
            <w:r w:rsidRPr="001C3378">
              <w:rPr>
                <w:b/>
                <w:bCs/>
                <w:i/>
                <w:iCs/>
                <w:noProof/>
              </w:rPr>
              <w:t>CNAE 92x</w:t>
            </w:r>
            <w:r w:rsidRPr="001C3378">
              <w:rPr>
                <w:b/>
                <w:bCs/>
                <w:noProof/>
              </w:rPr>
              <w:t>)</w:t>
            </w:r>
          </w:p>
        </w:tc>
        <w:tc>
          <w:tcPr>
            <w:tcW w:w="1860" w:type="dxa"/>
            <w:tcBorders>
              <w:top w:val="nil"/>
              <w:left w:val="dotted" w:sz="8" w:space="0" w:color="000000"/>
              <w:bottom w:val="single" w:sz="18" w:space="0" w:color="1F4E79"/>
              <w:right w:val="nil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FA65B3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Jogos de azar e apostas (</w:t>
            </w:r>
            <w:r w:rsidRPr="001C3378">
              <w:rPr>
                <w:b/>
                <w:bCs/>
                <w:i/>
                <w:iCs/>
                <w:noProof/>
              </w:rPr>
              <w:t>outros CNAEs)</w:t>
            </w:r>
          </w:p>
        </w:tc>
      </w:tr>
      <w:tr w:rsidR="001C3378" w:rsidRPr="001C3378" w14:paraId="760C7EE4" w14:textId="77777777" w:rsidTr="006A717F">
        <w:trPr>
          <w:trHeight w:val="362"/>
        </w:trPr>
        <w:tc>
          <w:tcPr>
            <w:tcW w:w="3119" w:type="dxa"/>
            <w:tcBorders>
              <w:top w:val="single" w:sz="18" w:space="0" w:color="1F4E79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2223A9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 xml:space="preserve">Média mensal em 2024 </w:t>
            </w:r>
          </w:p>
          <w:p w14:paraId="32BEEAFA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(R$ bi)</w:t>
            </w:r>
          </w:p>
        </w:tc>
        <w:tc>
          <w:tcPr>
            <w:tcW w:w="1420" w:type="dxa"/>
            <w:tcBorders>
              <w:top w:val="single" w:sz="18" w:space="0" w:color="1F4E79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4957D4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1,9</w:t>
            </w:r>
          </w:p>
        </w:tc>
        <w:tc>
          <w:tcPr>
            <w:tcW w:w="1840" w:type="dxa"/>
            <w:tcBorders>
              <w:top w:val="single" w:sz="18" w:space="0" w:color="1F4E79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B4624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0,3</w:t>
            </w:r>
          </w:p>
        </w:tc>
        <w:tc>
          <w:tcPr>
            <w:tcW w:w="1860" w:type="dxa"/>
            <w:tcBorders>
              <w:top w:val="single" w:sz="18" w:space="0" w:color="1F4E79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EC306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20,8</w:t>
            </w:r>
          </w:p>
        </w:tc>
      </w:tr>
      <w:tr w:rsidR="001C3378" w:rsidRPr="001C3378" w14:paraId="3FB148C3" w14:textId="77777777" w:rsidTr="006A717F">
        <w:trPr>
          <w:trHeight w:val="85"/>
        </w:trPr>
        <w:tc>
          <w:tcPr>
            <w:tcW w:w="3119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6CD621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Número de CNPJ8</w:t>
            </w:r>
          </w:p>
        </w:tc>
        <w:tc>
          <w:tcPr>
            <w:tcW w:w="14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5FA001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13.559</w:t>
            </w:r>
          </w:p>
        </w:tc>
        <w:tc>
          <w:tcPr>
            <w:tcW w:w="18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8A3569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520</w:t>
            </w:r>
          </w:p>
        </w:tc>
        <w:tc>
          <w:tcPr>
            <w:tcW w:w="18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FB7F7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56</w:t>
            </w:r>
          </w:p>
        </w:tc>
      </w:tr>
      <w:tr w:rsidR="001C3378" w:rsidRPr="001C3378" w14:paraId="65DAEDE9" w14:textId="77777777" w:rsidTr="006A717F">
        <w:trPr>
          <w:trHeight w:val="584"/>
        </w:trPr>
        <w:tc>
          <w:tcPr>
            <w:tcW w:w="3119" w:type="dxa"/>
            <w:tcBorders>
              <w:top w:val="dotted" w:sz="8" w:space="0" w:color="000000"/>
              <w:left w:val="nil"/>
              <w:bottom w:val="single" w:sz="18" w:space="0" w:color="1F4E79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12601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 xml:space="preserve">Média por CNPJ8 </w:t>
            </w:r>
          </w:p>
          <w:p w14:paraId="515B9A93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(R$)</w:t>
            </w:r>
          </w:p>
        </w:tc>
        <w:tc>
          <w:tcPr>
            <w:tcW w:w="1420" w:type="dxa"/>
            <w:tcBorders>
              <w:top w:val="dotted" w:sz="8" w:space="0" w:color="000000"/>
              <w:left w:val="dotted" w:sz="8" w:space="0" w:color="000000"/>
              <w:bottom w:val="single" w:sz="18" w:space="0" w:color="1F4E79"/>
              <w:right w:val="dotted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5EBAB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140.128</w:t>
            </w:r>
          </w:p>
        </w:tc>
        <w:tc>
          <w:tcPr>
            <w:tcW w:w="1840" w:type="dxa"/>
            <w:tcBorders>
              <w:top w:val="dotted" w:sz="8" w:space="0" w:color="000000"/>
              <w:left w:val="dotted" w:sz="8" w:space="0" w:color="000000"/>
              <w:bottom w:val="single" w:sz="18" w:space="0" w:color="1F4E79"/>
              <w:right w:val="dotted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6ED90A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576.923</w:t>
            </w:r>
          </w:p>
        </w:tc>
        <w:tc>
          <w:tcPr>
            <w:tcW w:w="1860" w:type="dxa"/>
            <w:tcBorders>
              <w:top w:val="dotted" w:sz="8" w:space="0" w:color="000000"/>
              <w:left w:val="dotted" w:sz="8" w:space="0" w:color="000000"/>
              <w:bottom w:val="single" w:sz="18" w:space="0" w:color="1F4E79"/>
              <w:right w:val="nil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8906E9" w14:textId="77777777" w:rsidR="001C3378" w:rsidRPr="001C3378" w:rsidRDefault="001C3378" w:rsidP="001C337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1C3378">
              <w:rPr>
                <w:b/>
                <w:bCs/>
                <w:noProof/>
              </w:rPr>
              <w:t>235.714.286</w:t>
            </w:r>
          </w:p>
        </w:tc>
      </w:tr>
    </w:tbl>
    <w:p w14:paraId="32B62E03" w14:textId="2A190216" w:rsidR="00FA02D7" w:rsidRDefault="00FA02D7" w:rsidP="001C3378">
      <w:pPr>
        <w:spacing w:after="0" w:line="240" w:lineRule="auto"/>
        <w:jc w:val="center"/>
        <w:rPr>
          <w:b/>
          <w:bCs/>
          <w:noProof/>
        </w:rPr>
      </w:pPr>
    </w:p>
    <w:p w14:paraId="5D500A10" w14:textId="77777777" w:rsidR="00801C74" w:rsidRDefault="001C3378" w:rsidP="001C3378">
      <w:pPr>
        <w:spacing w:after="0" w:line="240" w:lineRule="auto"/>
        <w:ind w:firstLine="708"/>
        <w:jc w:val="both"/>
      </w:pPr>
      <w:r>
        <w:t>Os valores de loteria são a soma dos valores arrecadados em cada sorteio da Caixa Econômica Federal, divulgados no site de loterias; enquanto o número de CNPJs corresponde às casas lotéricas ativas em agosto/2024.</w:t>
      </w:r>
    </w:p>
    <w:p w14:paraId="74C84F81" w14:textId="764F5A81" w:rsidR="001C3378" w:rsidRDefault="001C3378" w:rsidP="001C3378">
      <w:pPr>
        <w:spacing w:after="0" w:line="240" w:lineRule="auto"/>
        <w:ind w:firstLine="708"/>
        <w:jc w:val="both"/>
      </w:pPr>
      <w:r>
        <w:t>Os valores de jogos de azar e apostas correspondem a recebimentos Pix destas empresas, enquanto o número de CNPJs corresponde apenas àqueles ativos em agosto/2024.</w:t>
      </w:r>
      <w:r w:rsidRPr="00FA02D7">
        <w:t xml:space="preserve"> Observa-se que </w:t>
      </w:r>
      <w:r>
        <w:t>existe um grande número de empresas que se classificam no CNAE correspondente a jogos de azar e apostas (coluna do meio da tabela). No entanto, essas empresas movimentam uma parcela relativamente pequena em termos financeiros.</w:t>
      </w:r>
    </w:p>
    <w:p w14:paraId="7B00918E" w14:textId="7F4B2043" w:rsidR="001C3378" w:rsidRDefault="001C3378" w:rsidP="001C3378">
      <w:pPr>
        <w:spacing w:after="0" w:line="240" w:lineRule="auto"/>
        <w:ind w:firstLine="708"/>
        <w:jc w:val="both"/>
      </w:pPr>
      <w:r>
        <w:t xml:space="preserve">A terceira coluna </w:t>
      </w:r>
      <w:r w:rsidR="00801C74">
        <w:t xml:space="preserve">da tabela </w:t>
      </w:r>
      <w:r>
        <w:t xml:space="preserve">traz as empresas de apostas e jogos de azar que não se identificam no CNAE adequado. Essas empresas foram identificadas com base em citações na internet e na aplicação de filtros com características típicas de transferências de apostas, como número pessoas que fizeram transferências, número de transações, tíquete médio e concentração das transferências em determinados horários. </w:t>
      </w:r>
      <w:r w:rsidR="000604C4">
        <w:t>Com base nesses critérios, f</w:t>
      </w:r>
      <w:r>
        <w:t>oram identificadas 56 empresas que somaram, em agosto</w:t>
      </w:r>
      <w:r w:rsidR="000604C4">
        <w:t>,</w:t>
      </w:r>
      <w:r w:rsidRPr="00FA02D7">
        <w:t xml:space="preserve"> R$ 20,8 bilhões</w:t>
      </w:r>
      <w:r w:rsidR="00801C74">
        <w:t xml:space="preserve"> de transferências recebidas</w:t>
      </w:r>
      <w:r w:rsidRPr="00FA02D7">
        <w:t>.</w:t>
      </w:r>
    </w:p>
    <w:p w14:paraId="652BC02D" w14:textId="77777777" w:rsidR="001C3378" w:rsidRDefault="001C3378" w:rsidP="007761B3">
      <w:pPr>
        <w:spacing w:after="0" w:line="240" w:lineRule="auto"/>
        <w:jc w:val="both"/>
        <w:rPr>
          <w:b/>
          <w:bCs/>
        </w:rPr>
      </w:pPr>
    </w:p>
    <w:p w14:paraId="010E66F8" w14:textId="2E19E94D" w:rsidR="00FA02D7" w:rsidRPr="00FA02D7" w:rsidRDefault="00FA02D7" w:rsidP="007761B3">
      <w:pPr>
        <w:spacing w:after="0" w:line="240" w:lineRule="auto"/>
        <w:jc w:val="both"/>
      </w:pPr>
      <w:r w:rsidRPr="00FA02D7">
        <w:rPr>
          <w:b/>
          <w:bCs/>
        </w:rPr>
        <w:t>Evolução das Transferências para Empresas de Apostas</w:t>
      </w:r>
    </w:p>
    <w:p w14:paraId="6953DB55" w14:textId="239F25AB" w:rsidR="00CF4245" w:rsidRPr="00CF4245" w:rsidRDefault="00CF4245" w:rsidP="00CF4245">
      <w:pPr>
        <w:spacing w:after="0" w:line="240" w:lineRule="auto"/>
        <w:ind w:firstLine="708"/>
        <w:jc w:val="both"/>
      </w:pPr>
      <w:r w:rsidRPr="00CF4245">
        <w:t xml:space="preserve">O gráfico </w:t>
      </w:r>
      <w:r w:rsidR="000604C4">
        <w:t>a seguir</w:t>
      </w:r>
      <w:r w:rsidRPr="00CF4245">
        <w:t xml:space="preserve"> ilustra a evolução das transferências para empresas de jogos de azar e apostas ao longo de 2024.</w:t>
      </w:r>
    </w:p>
    <w:p w14:paraId="768D372D" w14:textId="77777777" w:rsidR="00C55DEB" w:rsidRDefault="00C55DEB" w:rsidP="00DD6217">
      <w:pPr>
        <w:spacing w:after="0" w:line="240" w:lineRule="auto"/>
        <w:ind w:firstLine="708"/>
        <w:jc w:val="both"/>
      </w:pPr>
    </w:p>
    <w:p w14:paraId="64FE7582" w14:textId="7ACCC32A" w:rsidR="00FA02D7" w:rsidRDefault="00C50486" w:rsidP="00C55DEB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4CE8BCA7" wp14:editId="4A48AE78">
            <wp:extent cx="5454568" cy="2913336"/>
            <wp:effectExtent l="0" t="0" r="0" b="1905"/>
            <wp:docPr id="128043078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830" cy="2931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E50F3" w14:textId="77777777" w:rsidR="00C55DEB" w:rsidRDefault="00C55DEB" w:rsidP="00C55DEB">
      <w:pPr>
        <w:spacing w:after="0" w:line="240" w:lineRule="auto"/>
        <w:jc w:val="center"/>
      </w:pPr>
    </w:p>
    <w:p w14:paraId="063804B9" w14:textId="30D16DE4" w:rsidR="00C50486" w:rsidRPr="00CF4245" w:rsidRDefault="00C50486" w:rsidP="00C50486">
      <w:pPr>
        <w:spacing w:after="0" w:line="240" w:lineRule="auto"/>
        <w:ind w:firstLine="708"/>
        <w:jc w:val="both"/>
      </w:pPr>
      <w:r w:rsidRPr="00CF4245">
        <w:t>Os valores mensais variaram entre R$ 1</w:t>
      </w:r>
      <w:r w:rsidR="006A717F">
        <w:t>8</w:t>
      </w:r>
      <w:r w:rsidRPr="00CF4245">
        <w:t xml:space="preserve"> bilhões e R$ 2</w:t>
      </w:r>
      <w:r>
        <w:t>1</w:t>
      </w:r>
      <w:r w:rsidRPr="00CF4245">
        <w:t xml:space="preserve"> bilhões. Vale ressaltar que esses valores representam as transferências brutas, </w:t>
      </w:r>
      <w:r w:rsidR="00801C74">
        <w:t>ou seja, é uma estimativa do quanto foi apostado no mês</w:t>
      </w:r>
      <w:r w:rsidRPr="00CF4245">
        <w:t xml:space="preserve">. </w:t>
      </w:r>
      <w:r w:rsidR="006A717F">
        <w:t>Com base nas transferências que são feitas dessas empresas para pessoas físicas, e</w:t>
      </w:r>
      <w:r w:rsidRPr="00CF4245">
        <w:t xml:space="preserve">stimamos que aproximadamente 15% </w:t>
      </w:r>
      <w:r w:rsidR="006A717F">
        <w:t>do que é apostado</w:t>
      </w:r>
      <w:r w:rsidRPr="00CF4245">
        <w:t xml:space="preserve"> seja retid</w:t>
      </w:r>
      <w:r w:rsidR="006A717F">
        <w:t>o</w:t>
      </w:r>
      <w:r w:rsidRPr="00CF4245">
        <w:t xml:space="preserve"> pelas empresas, com o restante distribuído aos ganhadores </w:t>
      </w:r>
      <w:r w:rsidR="00801C74">
        <w:t>a título de prêmio</w:t>
      </w:r>
      <w:r w:rsidRPr="00CF4245">
        <w:t>.</w:t>
      </w:r>
    </w:p>
    <w:p w14:paraId="3BC81770" w14:textId="77777777" w:rsidR="00C50486" w:rsidRDefault="00C50486" w:rsidP="007761B3">
      <w:pPr>
        <w:spacing w:after="0" w:line="240" w:lineRule="auto"/>
        <w:jc w:val="both"/>
      </w:pPr>
    </w:p>
    <w:p w14:paraId="1B1BB0A0" w14:textId="77777777" w:rsidR="006A717F" w:rsidRPr="00FA02D7" w:rsidRDefault="006A717F" w:rsidP="006A717F">
      <w:pPr>
        <w:spacing w:after="0" w:line="240" w:lineRule="auto"/>
        <w:jc w:val="both"/>
      </w:pPr>
      <w:r w:rsidRPr="00FA02D7">
        <w:rPr>
          <w:b/>
          <w:bCs/>
        </w:rPr>
        <w:t>Perfil dos Apostadores</w:t>
      </w:r>
    </w:p>
    <w:p w14:paraId="3C5AB69F" w14:textId="6A1974B1" w:rsidR="007F1F2F" w:rsidRPr="00FA02D7" w:rsidRDefault="00CF4245" w:rsidP="006A717F">
      <w:pPr>
        <w:spacing w:after="0" w:line="240" w:lineRule="auto"/>
        <w:ind w:firstLine="709"/>
        <w:jc w:val="both"/>
      </w:pPr>
      <w:r w:rsidRPr="00CF4245">
        <w:t xml:space="preserve">Estimamos que </w:t>
      </w:r>
      <w:r w:rsidR="00801C74">
        <w:t xml:space="preserve">cerca de </w:t>
      </w:r>
      <w:r w:rsidRPr="00CF4245">
        <w:t>24 milhões de pessoas físicas participaram de jogos de azar e apostas, realizando ao menos uma transferência via Pix para essas empresas durante o período analisado.</w:t>
      </w:r>
    </w:p>
    <w:p w14:paraId="3A888975" w14:textId="7047B51A" w:rsidR="00FA02D7" w:rsidRDefault="00FA02D7" w:rsidP="00DD6217">
      <w:pPr>
        <w:spacing w:after="0" w:line="240" w:lineRule="auto"/>
        <w:ind w:firstLine="708"/>
        <w:jc w:val="both"/>
      </w:pPr>
      <w:r w:rsidRPr="00FA02D7">
        <w:t>Em relação ao perfil dos apostadores, a maioria tem entre 20 e 30 anos, embora as apostas sejam realizadas por indivíduos de diferentes faixas etárias. O valor médio mensal das transferências aumenta conforme a idade: para os mais jovens, o valor gira em torno de R$ 100</w:t>
      </w:r>
      <w:r w:rsidR="00801C74">
        <w:t xml:space="preserve"> por mês</w:t>
      </w:r>
      <w:r w:rsidRPr="00FA02D7">
        <w:t>, enquanto para os mais velhos o valor ultrapassa R$ 3.000 por mês, de acordo com os dados de agosto de 2024.</w:t>
      </w:r>
    </w:p>
    <w:p w14:paraId="29960F22" w14:textId="77777777" w:rsidR="00CF4245" w:rsidRPr="00FA02D7" w:rsidRDefault="00CF4245" w:rsidP="00DD6217">
      <w:pPr>
        <w:spacing w:after="0" w:line="240" w:lineRule="auto"/>
        <w:ind w:firstLine="708"/>
        <w:jc w:val="both"/>
      </w:pPr>
    </w:p>
    <w:p w14:paraId="1520B4B4" w14:textId="083C3DDA" w:rsidR="00716EFE" w:rsidRDefault="00586749" w:rsidP="00C55DE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9F293AF" wp14:editId="27552369">
            <wp:extent cx="4669790" cy="2895600"/>
            <wp:effectExtent l="0" t="0" r="0" b="0"/>
            <wp:docPr id="45547852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6EFE" w:rsidSect="002C1A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D7"/>
    <w:rsid w:val="000604C4"/>
    <w:rsid w:val="001C3378"/>
    <w:rsid w:val="002C1A1D"/>
    <w:rsid w:val="00365024"/>
    <w:rsid w:val="003700CD"/>
    <w:rsid w:val="00586749"/>
    <w:rsid w:val="005B123E"/>
    <w:rsid w:val="006A717F"/>
    <w:rsid w:val="00712A95"/>
    <w:rsid w:val="00713BDF"/>
    <w:rsid w:val="00716EFE"/>
    <w:rsid w:val="0073212C"/>
    <w:rsid w:val="007761B3"/>
    <w:rsid w:val="007D0640"/>
    <w:rsid w:val="007F1F2F"/>
    <w:rsid w:val="00801C74"/>
    <w:rsid w:val="008B01AA"/>
    <w:rsid w:val="00A345E9"/>
    <w:rsid w:val="00A545B2"/>
    <w:rsid w:val="00B03911"/>
    <w:rsid w:val="00B31991"/>
    <w:rsid w:val="00C31892"/>
    <w:rsid w:val="00C50486"/>
    <w:rsid w:val="00C55DEB"/>
    <w:rsid w:val="00CF4245"/>
    <w:rsid w:val="00DB56E8"/>
    <w:rsid w:val="00DD6217"/>
    <w:rsid w:val="00E2178C"/>
    <w:rsid w:val="00E243D6"/>
    <w:rsid w:val="00EB78E3"/>
    <w:rsid w:val="00F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CE4A"/>
  <w15:chartTrackingRefBased/>
  <w15:docId w15:val="{F0F67FDA-5166-464D-80FB-771C3CB8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0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0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0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0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0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0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0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0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0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0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0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02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02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02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02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02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02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0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0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0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02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02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02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0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02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02D7"/>
    <w:rPr>
      <w:b/>
      <w:bCs/>
      <w:smallCaps/>
      <w:color w:val="0F4761" w:themeColor="accent1" w:themeShade="BF"/>
      <w:spacing w:val="5"/>
    </w:rPr>
  </w:style>
  <w:style w:type="paragraph" w:styleId="Reviso">
    <w:name w:val="Revision"/>
    <w:hidden/>
    <w:uiPriority w:val="99"/>
    <w:semiHidden/>
    <w:rsid w:val="00E24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Bacen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Rubem do Coutto Bastos</dc:creator>
  <cp:keywords/>
  <dc:description/>
  <cp:lastModifiedBy>Rogerio Antonio Lucca</cp:lastModifiedBy>
  <cp:revision>5</cp:revision>
  <dcterms:created xsi:type="dcterms:W3CDTF">2024-09-19T18:01:00Z</dcterms:created>
  <dcterms:modified xsi:type="dcterms:W3CDTF">2024-09-19T19:36:00Z</dcterms:modified>
</cp:coreProperties>
</file>